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02">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A randomized controlled trial of high dose vs. low dose influenza vaccination among patients with rheumatoid arthritis found that the log(GMT) (logarithm of the geometric mean titre) in the two groups was as follows:</w:t>
            </w:r>
          </w:p>
          <w:tbl>
            <w:tblPr>
              <w:tblStyle w:val="Table2"/>
              <w:tblW w:w="91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A0"/>
            </w:tblPr>
            <w:tblGrid>
              <w:gridCol w:w="3042"/>
              <w:gridCol w:w="3046"/>
              <w:gridCol w:w="3046"/>
              <w:tblGridChange w:id="0">
                <w:tblGrid>
                  <w:gridCol w:w="3042"/>
                  <w:gridCol w:w="3046"/>
                  <w:gridCol w:w="3046"/>
                </w:tblGrid>
              </w:tblGridChange>
            </w:tblGrid>
            <w:tr>
              <w:tc>
                <w:tcPr/>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First trial</w:t>
                  </w:r>
                  <w:r w:rsidDel="00000000" w:rsidR="00000000" w:rsidRPr="00000000">
                    <w:rPr>
                      <w:rtl w:val="0"/>
                    </w:rPr>
                  </w:r>
                </w:p>
              </w:tc>
              <w:tc>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i w:val="0"/>
                      <w:sz w:val="22"/>
                      <w:szCs w:val="22"/>
                      <w:rtl w:val="0"/>
                    </w:rPr>
                    <w:t xml:space="preserve">High dose</w:t>
                  </w:r>
                  <w:r w:rsidDel="00000000" w:rsidR="00000000" w:rsidRPr="00000000">
                    <w:rPr>
                      <w:rtl w:val="0"/>
                    </w:rPr>
                  </w:r>
                </w:p>
              </w:tc>
              <w:tc>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i w:val="0"/>
                      <w:sz w:val="22"/>
                      <w:szCs w:val="22"/>
                      <w:rtl w:val="0"/>
                    </w:rPr>
                    <w:t xml:space="preserve">Low dose</w:t>
                  </w:r>
                  <w:r w:rsidDel="00000000" w:rsidR="00000000" w:rsidRPr="00000000">
                    <w:rPr>
                      <w:rtl w:val="0"/>
                    </w:rPr>
                  </w:r>
                </w:p>
              </w:tc>
            </w:tr>
            <w:tr>
              <w:tc>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Sample size</w:t>
                  </w:r>
                  <w:r w:rsidDel="00000000" w:rsidR="00000000" w:rsidRPr="00000000">
                    <w:rPr>
                      <w:rtl w:val="0"/>
                    </w:rPr>
                  </w:r>
                </w:p>
              </w:tc>
              <w:tc>
                <w:tcPr/>
                <w:p w:rsidR="00000000" w:rsidDel="00000000" w:rsidP="00000000" w:rsidRDefault="00000000" w:rsidRPr="00000000" w14:paraId="00000007">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pPr>
                  <w:r w:rsidDel="00000000" w:rsidR="00000000" w:rsidRPr="00000000">
                    <w:rPr>
                      <w:rtl w:val="0"/>
                    </w:rPr>
                    <w:t xml:space="preserve">69</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71</w:t>
                  </w:r>
                </w:p>
              </w:tc>
            </w:tr>
            <w:t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Mean log(GMT)</w:t>
                  </w:r>
                  <w:r w:rsidDel="00000000" w:rsidR="00000000" w:rsidRPr="00000000">
                    <w:rPr>
                      <w:rtl w:val="0"/>
                    </w:rPr>
                  </w:r>
                </w:p>
              </w:tc>
              <w:tc>
                <w:tcPr/>
                <w:p w:rsidR="00000000" w:rsidDel="00000000" w:rsidP="00000000" w:rsidRDefault="00000000" w:rsidRPr="00000000" w14:paraId="0000000A">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pPr>
                  <w:r w:rsidDel="00000000" w:rsidR="00000000" w:rsidRPr="00000000">
                    <w:rPr>
                      <w:rtl w:val="0"/>
                    </w:rPr>
                    <w:t xml:space="preserve">4.04 units/ml</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3.83 units/ml</w:t>
                  </w:r>
                </w:p>
              </w:tc>
            </w:tr>
            <w:tr>
              <w:tc>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SD log(GMT)</w:t>
                  </w:r>
                  <w:r w:rsidDel="00000000" w:rsidR="00000000" w:rsidRPr="00000000">
                    <w:rPr>
                      <w:rtl w:val="0"/>
                    </w:rPr>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2.89 units/ml</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2.71 units/ml</w:t>
                  </w:r>
                </w:p>
              </w:tc>
            </w:tr>
          </w:tbl>
          <w:p w:rsidR="00000000" w:rsidDel="00000000" w:rsidP="00000000" w:rsidRDefault="00000000" w:rsidRPr="00000000" w14:paraId="0000000F">
            <w:pPr>
              <w:rPr/>
            </w:pPr>
            <w:r w:rsidDel="00000000" w:rsidR="00000000" w:rsidRPr="00000000">
              <w:rPr>
                <w:rtl w:val="0"/>
              </w:rPr>
            </w:r>
          </w:p>
        </w:tc>
      </w:tr>
      <w:tr>
        <w:tc>
          <w:tcPr/>
          <w:p w:rsidR="00000000" w:rsidDel="00000000" w:rsidP="00000000" w:rsidRDefault="00000000" w:rsidRPr="00000000" w14:paraId="00000010">
            <w:pPr>
              <w:numPr>
                <w:ilvl w:val="0"/>
                <w:numId w:val="5"/>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Carry out a two-sided t-test comparing the means in the two groups. Assume the standard deviations in the two groups are the same and calculate a pooled standard deviation. What is your conclusion?</w:t>
            </w:r>
          </w:p>
          <w:p w:rsidR="00000000" w:rsidDel="00000000" w:rsidP="00000000" w:rsidRDefault="00000000" w:rsidRPr="00000000" w14:paraId="00000011">
            <w:pPr>
              <w:rPr/>
            </w:pPr>
            <w:r w:rsidDel="00000000" w:rsidR="00000000" w:rsidRPr="00000000">
              <w:rPr>
                <w:rtl w:val="0"/>
              </w:rPr>
            </w:r>
          </w:p>
        </w:tc>
      </w:tr>
      <w:tr>
        <w:tc>
          <w:tcPr/>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Solution </w:t>
            </w:r>
          </w:p>
          <w:p w:rsidR="00000000" w:rsidDel="00000000" w:rsidP="00000000" w:rsidRDefault="00000000" w:rsidRPr="00000000" w14:paraId="00000015">
            <w:pPr>
              <w:rPr/>
            </w:pPr>
            <w:r w:rsidDel="00000000" w:rsidR="00000000" w:rsidRPr="00000000">
              <w:rPr>
                <w:rtl w:val="0"/>
              </w:rPr>
              <w:t xml:space="preserve">Hypothesis</w:t>
            </w:r>
          </w:p>
          <w:p w:rsidR="00000000" w:rsidDel="00000000" w:rsidP="00000000" w:rsidRDefault="00000000" w:rsidRPr="00000000" w14:paraId="00000016">
            <w:pPr>
              <w:rPr/>
            </w:pPr>
            <w:r w:rsidDel="00000000" w:rsidR="00000000" w:rsidRPr="00000000">
              <w:rPr>
                <w:rtl w:val="0"/>
              </w:rPr>
              <w:t xml:space="preserve">H0: u1 = u2</w:t>
            </w:r>
          </w:p>
          <w:p w:rsidR="00000000" w:rsidDel="00000000" w:rsidP="00000000" w:rsidRDefault="00000000" w:rsidRPr="00000000" w14:paraId="00000017">
            <w:pPr>
              <w:rPr/>
            </w:pPr>
            <w:r w:rsidDel="00000000" w:rsidR="00000000" w:rsidRPr="00000000">
              <w:rPr>
                <w:rtl w:val="0"/>
              </w:rPr>
              <w:t xml:space="preserve">H1: u1 ≠ u2</w:t>
            </w:r>
          </w:p>
          <w:p w:rsidR="00000000" w:rsidDel="00000000" w:rsidP="00000000" w:rsidRDefault="00000000" w:rsidRPr="00000000" w14:paraId="00000018">
            <w:pPr>
              <w:rPr/>
            </w:pPr>
            <w:r w:rsidDel="00000000" w:rsidR="00000000" w:rsidRPr="00000000">
              <w:rPr>
                <w:rtl w:val="0"/>
              </w:rPr>
              <w:t xml:space="preserve">Test statistic </w:t>
            </w:r>
          </w:p>
          <w:p w:rsidR="00000000" w:rsidDel="00000000" w:rsidP="00000000" w:rsidRDefault="00000000" w:rsidRPr="00000000" w14:paraId="00000019">
            <w:pPr>
              <w:rPr/>
            </w:pPr>
            <w:r w:rsidDel="00000000" w:rsidR="00000000" w:rsidRPr="00000000">
              <w:rPr>
                <w:rtl w:val="0"/>
              </w:rPr>
              <w:t xml:space="preserve">Pooled standard deviation = </w:t>
            </w:r>
            <m:oMath>
              <m:rad>
                <m:radPr>
                  <m:degHide m:val="1"/>
                </m:radPr>
                <m:e>
                  <m:f>
                    <m:fPr>
                      <m:ctrlPr>
                        <w:rPr>
                          <w:rFonts w:ascii="Cambria Math" w:cs="Cambria Math" w:eastAsia="Cambria Math" w:hAnsi="Cambria Math"/>
                        </w:rPr>
                      </m:ctrlPr>
                    </m:fPr>
                    <m:num>
                      <m:d>
                        <m:dPr>
                          <m:begChr m:val="("/>
                          <m:endChr m:val=")"/>
                          <m:ctrlPr>
                            <w:rPr>
                              <w:rFonts w:ascii="Cambria Math" w:cs="Cambria Math" w:eastAsia="Cambria Math" w:hAnsi="Cambria Math"/>
                            </w:rPr>
                          </m:ctrlPr>
                        </m:dPr>
                        <m:e>
                          <m:r>
                            <w:rPr>
                              <w:rFonts w:ascii="Cambria Math" w:cs="Cambria Math" w:eastAsia="Cambria Math" w:hAnsi="Cambria Math"/>
                            </w:rPr>
                            <m:t xml:space="preserve">69-1</m:t>
                          </m:r>
                        </m:e>
                      </m:d>
                      <m:sSup>
                        <m:sSupPr>
                          <m:ctrlPr>
                            <w:rPr>
                              <w:rFonts w:ascii="Cambria Math" w:cs="Cambria Math" w:eastAsia="Cambria Math" w:hAnsi="Cambria Math"/>
                            </w:rPr>
                          </m:ctrlPr>
                        </m:sSupPr>
                        <m:e>
                          <m:r>
                            <w:rPr>
                              <w:rFonts w:ascii="Cambria Math" w:cs="Cambria Math" w:eastAsia="Cambria Math" w:hAnsi="Cambria Math"/>
                            </w:rPr>
                            <m:t xml:space="preserve">2.89</m:t>
                          </m:r>
                        </m:e>
                        <m:sup>
                          <m:r>
                            <w:rPr>
                              <w:rFonts w:ascii="Cambria Math" w:cs="Cambria Math" w:eastAsia="Cambria Math" w:hAnsi="Cambria Math"/>
                            </w:rPr>
                            <m:t xml:space="preserve">2</m:t>
                          </m:r>
                        </m:sup>
                      </m:sSup>
                      <m:r>
                        <w:rPr>
                          <w:rFonts w:ascii="Cambria Math" w:cs="Cambria Math" w:eastAsia="Cambria Math" w:hAnsi="Cambria Math"/>
                        </w:rPr>
                        <m:t xml:space="preserve">+</m:t>
                      </m:r>
                      <m:d>
                        <m:dPr>
                          <m:begChr m:val="("/>
                          <m:endChr m:val=")"/>
                          <m:ctrlPr>
                            <w:rPr>
                              <w:rFonts w:ascii="Cambria Math" w:cs="Cambria Math" w:eastAsia="Cambria Math" w:hAnsi="Cambria Math"/>
                            </w:rPr>
                          </m:ctrlPr>
                        </m:dPr>
                        <m:e>
                          <m:r>
                            <w:rPr>
                              <w:rFonts w:ascii="Cambria Math" w:cs="Cambria Math" w:eastAsia="Cambria Math" w:hAnsi="Cambria Math"/>
                            </w:rPr>
                            <m:t xml:space="preserve">71-1</m:t>
                          </m:r>
                        </m:e>
                      </m:d>
                      <m:sSup>
                        <m:sSupPr>
                          <m:ctrlPr>
                            <w:rPr>
                              <w:rFonts w:ascii="Cambria Math" w:cs="Cambria Math" w:eastAsia="Cambria Math" w:hAnsi="Cambria Math"/>
                            </w:rPr>
                          </m:ctrlPr>
                        </m:sSupPr>
                        <m:e>
                          <m:r>
                            <w:rPr>
                              <w:rFonts w:ascii="Cambria Math" w:cs="Cambria Math" w:eastAsia="Cambria Math" w:hAnsi="Cambria Math"/>
                            </w:rPr>
                            <m:t xml:space="preserve">3.83</m:t>
                          </m:r>
                        </m:e>
                        <m:sup>
                          <m:r>
                            <w:rPr>
                              <w:rFonts w:ascii="Cambria Math" w:cs="Cambria Math" w:eastAsia="Cambria Math" w:hAnsi="Cambria Math"/>
                            </w:rPr>
                            <m:t xml:space="preserve">2</m:t>
                          </m:r>
                        </m:sup>
                      </m:sSup>
                    </m:num>
                    <m:den>
                      <m:r>
                        <w:rPr>
                          <w:rFonts w:ascii="Cambria Math" w:cs="Cambria Math" w:eastAsia="Cambria Math" w:hAnsi="Cambria Math"/>
                        </w:rPr>
                        <m:t xml:space="preserve">69+71-2</m:t>
                      </m:r>
                    </m:den>
                  </m:f>
                </m:e>
              </m:rad>
            </m:oMath>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 2.800</w:t>
            </w:r>
          </w:p>
          <w:p w:rsidR="00000000" w:rsidDel="00000000" w:rsidP="00000000" w:rsidRDefault="00000000" w:rsidRPr="00000000" w14:paraId="0000001B">
            <w:pPr>
              <w:rPr/>
            </w:pPr>
            <w:r w:rsidDel="00000000" w:rsidR="00000000" w:rsidRPr="00000000">
              <w:rPr>
                <w:rtl w:val="0"/>
              </w:rPr>
              <w:t xml:space="preserve">t = </w:t>
            </w:r>
            <m:oMath>
              <m:f>
                <m:fPr>
                  <m:ctrlPr>
                    <w:rPr>
                      <w:rFonts w:ascii="Cambria Math" w:cs="Cambria Math" w:eastAsia="Cambria Math" w:hAnsi="Cambria Math"/>
                    </w:rPr>
                  </m:ctrlPr>
                </m:fPr>
                <m:num>
                  <m:r>
                    <w:rPr>
                      <w:rFonts w:ascii="Cambria Math" w:cs="Cambria Math" w:eastAsia="Cambria Math" w:hAnsi="Cambria Math"/>
                    </w:rPr>
                    <m:t xml:space="preserve">4.04-3.83</m:t>
                  </m:r>
                </m:num>
                <m:den>
                  <m:r>
                    <w:rPr>
                      <w:rFonts w:ascii="Cambria Math" w:cs="Cambria Math" w:eastAsia="Cambria Math" w:hAnsi="Cambria Math"/>
                    </w:rPr>
                    <m:t xml:space="preserve">2.8×(</m:t>
                  </m:r>
                  <m:rad>
                    <m:radPr>
                      <m:degHide m:val="1"/>
                      <m:ctrlPr>
                        <w:rPr>
                          <w:rFonts w:ascii="Cambria Math" w:cs="Cambria Math" w:eastAsia="Cambria Math" w:hAnsi="Cambria Math"/>
                        </w:rPr>
                      </m:ctrlPr>
                    </m:radPr>
                    <m:e>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69</m:t>
                          </m:r>
                        </m:den>
                      </m:f>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71</m:t>
                          </m:r>
                        </m:den>
                      </m:f>
                    </m:e>
                  </m:rad>
                  <m:r>
                    <w:rPr>
                      <w:rFonts w:ascii="Cambria Math" w:cs="Cambria Math" w:eastAsia="Cambria Math" w:hAnsi="Cambria Math"/>
                    </w:rPr>
                    <m:t xml:space="preserve">)</m:t>
                  </m:r>
                </m:den>
              </m:f>
            </m:oMath>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 0.444</w:t>
            </w:r>
          </w:p>
          <w:p w:rsidR="00000000" w:rsidDel="00000000" w:rsidP="00000000" w:rsidRDefault="00000000" w:rsidRPr="00000000" w14:paraId="0000001D">
            <w:pPr>
              <w:rPr/>
            </w:pPr>
            <w:r w:rsidDel="00000000" w:rsidR="00000000" w:rsidRPr="00000000">
              <w:rPr>
                <w:rtl w:val="0"/>
              </w:rPr>
              <w:t xml:space="preserve">p-value = 0.6580</w:t>
            </w:r>
          </w:p>
          <w:p w:rsidR="00000000" w:rsidDel="00000000" w:rsidP="00000000" w:rsidRDefault="00000000" w:rsidRPr="00000000" w14:paraId="0000001E">
            <w:pPr>
              <w:rPr/>
            </w:pPr>
            <w:r w:rsidDel="00000000" w:rsidR="00000000" w:rsidRPr="00000000">
              <w:rPr>
                <w:rtl w:val="0"/>
              </w:rPr>
              <w:t xml:space="preserve">since p-value is greater than significance level (0.05), we do not reject the null hypothesis. We conclude that there is no significant difference in the two groups.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tc>
      </w:tr>
      <w:tr>
        <w:tc>
          <w:tcPr/>
          <w:p w:rsidR="00000000" w:rsidDel="00000000" w:rsidP="00000000" w:rsidRDefault="00000000" w:rsidRPr="00000000" w14:paraId="0000002C">
            <w:pPr>
              <w:rPr/>
            </w:pPr>
            <w:r w:rsidDel="00000000" w:rsidR="00000000" w:rsidRPr="00000000">
              <w:rPr>
                <w:rtl w:val="0"/>
              </w:rPr>
              <w:t xml:space="preserve">b) Calculate a 95% confidence interval for the difference in means between the two groups. Assuming that a clinically meaningful difference is 1 unit/ml, what can you conclude from this confidence interval?</w:t>
            </w:r>
          </w:p>
        </w:tc>
      </w:tr>
      <w:tr>
        <w:tc>
          <w:tcPr/>
          <w:p w:rsidR="00000000" w:rsidDel="00000000" w:rsidP="00000000" w:rsidRDefault="00000000" w:rsidRPr="00000000" w14:paraId="0000002D">
            <w:pPr>
              <w:rPr/>
            </w:pPr>
            <w:r w:rsidDel="00000000" w:rsidR="00000000" w:rsidRPr="00000000">
              <w:rPr>
                <w:rtl w:val="0"/>
              </w:rPr>
              <w:t xml:space="preserve">Solution </w:t>
            </w:r>
          </w:p>
          <w:p w:rsidR="00000000" w:rsidDel="00000000" w:rsidP="00000000" w:rsidRDefault="00000000" w:rsidRPr="00000000" w14:paraId="0000002E">
            <w:pPr>
              <w:rPr/>
            </w:pPr>
            <w:r w:rsidDel="00000000" w:rsidR="00000000" w:rsidRPr="00000000">
              <w:rPr>
                <w:rtl w:val="0"/>
              </w:rPr>
              <w:t xml:space="preserve">Difference = 0.21000</w:t>
            </w:r>
          </w:p>
          <w:p w:rsidR="00000000" w:rsidDel="00000000" w:rsidP="00000000" w:rsidRDefault="00000000" w:rsidRPr="00000000" w14:paraId="0000002F">
            <w:pPr>
              <w:rPr/>
            </w:pPr>
            <w:r w:rsidDel="00000000" w:rsidR="00000000" w:rsidRPr="00000000">
              <w:rPr>
                <w:rtl w:val="0"/>
              </w:rPr>
              <w:t xml:space="preserve">Margin of error = 0.93597</w:t>
            </w:r>
          </w:p>
          <w:p w:rsidR="00000000" w:rsidDel="00000000" w:rsidP="00000000" w:rsidRDefault="00000000" w:rsidRPr="00000000" w14:paraId="00000030">
            <w:pPr>
              <w:rPr/>
            </w:pPr>
            <w:r w:rsidDel="00000000" w:rsidR="00000000" w:rsidRPr="00000000">
              <w:rPr>
                <w:rtl w:val="0"/>
              </w:rPr>
              <w:t xml:space="preserve">Confidence interval = 0.21000 ± 0.93597</w:t>
            </w:r>
          </w:p>
          <w:p w:rsidR="00000000" w:rsidDel="00000000" w:rsidP="00000000" w:rsidRDefault="00000000" w:rsidRPr="00000000" w14:paraId="00000031">
            <w:pPr>
              <w:rPr/>
            </w:pPr>
            <w:r w:rsidDel="00000000" w:rsidR="00000000" w:rsidRPr="00000000">
              <w:rPr>
                <w:rtl w:val="0"/>
              </w:rPr>
              <w:t xml:space="preserve">                                    =( -0.72597, 0.93597)</w:t>
            </w:r>
          </w:p>
          <w:p w:rsidR="00000000" w:rsidDel="00000000" w:rsidP="00000000" w:rsidRDefault="00000000" w:rsidRPr="00000000" w14:paraId="00000032">
            <w:pPr>
              <w:rPr/>
            </w:pPr>
            <w:r w:rsidDel="00000000" w:rsidR="00000000" w:rsidRPr="00000000">
              <w:rPr>
                <w:rtl w:val="0"/>
              </w:rPr>
              <w:t xml:space="preserve">The interval is not meaningful since it contains 0.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tc>
      </w:tr>
      <w:tr>
        <w:tc>
          <w:tcPr/>
          <w:p w:rsidR="00000000" w:rsidDel="00000000" w:rsidP="00000000" w:rsidRDefault="00000000" w:rsidRPr="00000000" w14:paraId="00000035">
            <w:pPr>
              <w:numPr>
                <w:ilvl w:val="0"/>
                <w:numId w:val="6"/>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Give two reasons why relying on the hypothesis test for drawing inference may be misleading.</w:t>
            </w:r>
          </w:p>
        </w:tc>
      </w:tr>
      <w:tr>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59" w:lineRule="auto"/>
              <w:ind w:left="720" w:firstLine="0"/>
              <w:rPr/>
            </w:pPr>
            <w:r w:rsidDel="00000000" w:rsidR="00000000" w:rsidRPr="00000000">
              <w:rPr>
                <w:rtl w:val="0"/>
              </w:rPr>
            </w:r>
          </w:p>
          <w:p w:rsidR="00000000" w:rsidDel="00000000" w:rsidP="00000000" w:rsidRDefault="00000000" w:rsidRPr="00000000" w14:paraId="00000037">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sample sizes are small</w:t>
            </w:r>
          </w:p>
          <w:p w:rsidR="00000000" w:rsidDel="00000000" w:rsidP="00000000" w:rsidRDefault="00000000" w:rsidRPr="00000000" w14:paraId="00000038">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sampling method used</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60" w:line="259" w:lineRule="auto"/>
              <w:ind w:left="720" w:firstLine="0"/>
              <w:rPr/>
            </w:pPr>
            <w:r w:rsidDel="00000000" w:rsidR="00000000" w:rsidRPr="00000000">
              <w:rPr>
                <w:rtl w:val="0"/>
              </w:rPr>
            </w:r>
          </w:p>
        </w:tc>
      </w:tr>
    </w:tbl>
    <w:p w:rsidR="00000000" w:rsidDel="00000000" w:rsidP="00000000" w:rsidRDefault="00000000" w:rsidRPr="00000000" w14:paraId="0000003A">
      <w:pPr>
        <w:rPr/>
      </w:pPr>
      <w:r w:rsidDel="00000000" w:rsidR="00000000" w:rsidRPr="00000000">
        <w:rPr>
          <w:rtl w:val="0"/>
        </w:rPr>
      </w:r>
    </w:p>
    <w:tbl>
      <w:tblPr>
        <w:tblStyle w:val="Table3"/>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30"/>
        <w:tblGridChange w:id="0">
          <w:tblGrid>
            <w:gridCol w:w="8630"/>
          </w:tblGrid>
        </w:tblGridChange>
      </w:tblGrid>
      <w:tr>
        <w:tc>
          <w:tcPr/>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The investigators plan a new randomized controlled design is carried out with the same objective. This time they would like to obtain a conclusive result.</w:t>
            </w:r>
          </w:p>
        </w:tc>
      </w:tr>
      <w:tr>
        <w:tc>
          <w:tcPr/>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What is the sample size in each arm required to detect the minimum important difference of 1 unit/ml with Type I error of 0.05 and Power = 0.8?</w:t>
            </w:r>
          </w:p>
        </w:tc>
      </w:tr>
      <w:tr>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s-pooled = 2.800</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59" w:lineRule="auto"/>
              <w:rPr>
                <w:sz w:val="36"/>
                <w:szCs w:val="36"/>
              </w:rPr>
            </w:pPr>
            <w:r w:rsidDel="00000000" w:rsidR="00000000" w:rsidRPr="00000000">
              <w:rPr>
                <w:sz w:val="36"/>
                <w:szCs w:val="36"/>
                <w:rtl w:val="0"/>
              </w:rPr>
              <w:t xml:space="preserve">n = </w:t>
            </w:r>
            <m:oMath>
              <m:f>
                <m:fPr>
                  <m:ctrlPr>
                    <w:rPr>
                      <w:rFonts w:ascii="Cambria Math" w:cs="Cambria Math" w:eastAsia="Cambria Math" w:hAnsi="Cambria Math"/>
                      <w:sz w:val="36"/>
                      <w:szCs w:val="36"/>
                    </w:rPr>
                  </m:ctrlPr>
                </m:fPr>
                <m:num>
                  <m:r>
                    <w:rPr>
                      <w:rFonts w:ascii="Cambria Math" w:cs="Cambria Math" w:eastAsia="Cambria Math" w:hAnsi="Cambria Math"/>
                      <w:sz w:val="36"/>
                      <w:szCs w:val="36"/>
                    </w:rPr>
                    <m:t xml:space="preserve">2×2.8×</m:t>
                  </m:r>
                  <m:sSup>
                    <m:sSupPr>
                      <m:ctrlPr>
                        <w:rPr>
                          <w:rFonts w:ascii="Cambria Math" w:cs="Cambria Math" w:eastAsia="Cambria Math" w:hAnsi="Cambria Math"/>
                          <w:sz w:val="36"/>
                          <w:szCs w:val="36"/>
                        </w:rPr>
                      </m:ctrlPr>
                    </m:sSupPr>
                    <m:e>
                      <m:d>
                        <m:dPr>
                          <m:begChr m:val="("/>
                          <m:endChr m:val=")"/>
                          <m:ctrlPr>
                            <w:rPr>
                              <w:rFonts w:ascii="Cambria Math" w:cs="Cambria Math" w:eastAsia="Cambria Math" w:hAnsi="Cambria Math"/>
                              <w:sz w:val="36"/>
                              <w:szCs w:val="36"/>
                            </w:rPr>
                          </m:ctrlPr>
                        </m:dPr>
                        <m:e>
                          <m:r>
                            <w:rPr>
                              <w:rFonts w:ascii="Cambria Math" w:cs="Cambria Math" w:eastAsia="Cambria Math" w:hAnsi="Cambria Math"/>
                              <w:sz w:val="36"/>
                              <w:szCs w:val="36"/>
                            </w:rPr>
                            <m:t xml:space="preserve">1.96×0.842</m:t>
                          </m:r>
                        </m:e>
                      </m:d>
                    </m:e>
                    <m:sup>
                      <m:r>
                        <w:rPr>
                          <w:rFonts w:ascii="Cambria Math" w:cs="Cambria Math" w:eastAsia="Cambria Math" w:hAnsi="Cambria Math"/>
                          <w:sz w:val="36"/>
                          <w:szCs w:val="36"/>
                        </w:rPr>
                        <m:t xml:space="preserve">2</m:t>
                      </m:r>
                    </m:sup>
                  </m:sSup>
                </m:num>
                <m:den>
                  <m:sSup>
                    <m:sSupPr>
                      <m:ctrlPr>
                        <w:rPr>
                          <w:rFonts w:ascii="Cambria Math" w:cs="Cambria Math" w:eastAsia="Cambria Math" w:hAnsi="Cambria Math"/>
                          <w:sz w:val="36"/>
                          <w:szCs w:val="36"/>
                        </w:rPr>
                      </m:ctrlPr>
                    </m:sSupPr>
                    <m:e>
                      <m:r>
                        <w:rPr>
                          <w:rFonts w:ascii="Cambria Math" w:cs="Cambria Math" w:eastAsia="Cambria Math" w:hAnsi="Cambria Math"/>
                          <w:sz w:val="36"/>
                          <w:szCs w:val="36"/>
                        </w:rPr>
                        <m:t xml:space="preserve">1</m:t>
                      </m:r>
                    </m:e>
                    <m:sup>
                      <m:r>
                        <w:rPr>
                          <w:rFonts w:ascii="Cambria Math" w:cs="Cambria Math" w:eastAsia="Cambria Math" w:hAnsi="Cambria Math"/>
                          <w:sz w:val="36"/>
                          <w:szCs w:val="36"/>
                        </w:rPr>
                        <m:t xml:space="preserve">2</m:t>
                      </m:r>
                    </m:sup>
                  </m:sSup>
                </m:den>
              </m:f>
            </m:oMath>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     = 15.25</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     ≈ 15</w:t>
            </w:r>
          </w:p>
        </w:tc>
      </w:tr>
      <w:tr>
        <w:tc>
          <w:tcPr/>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If the investigator is working with a limited budget and is only able to recruit 100 individuals in each arm, what is the expected power? Use the pow package in R to calculate your answer.</w:t>
            </w:r>
          </w:p>
        </w:tc>
      </w:tr>
      <w:tr>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59" w:lineRule="auto"/>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59" w:lineRule="auto"/>
              <w:rPr/>
            </w:pPr>
            <w:r w:rsidDel="00000000" w:rsidR="00000000" w:rsidRPr="00000000">
              <w:rPr/>
              <w:drawing>
                <wp:inline distB="0" distT="0" distL="0" distR="0">
                  <wp:extent cx="2971800" cy="184785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971800" cy="18478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tbl>
      <w:tblPr>
        <w:tblStyle w:val="Table4"/>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30"/>
        <w:tblGridChange w:id="0">
          <w:tblGrid>
            <w:gridCol w:w="8630"/>
          </w:tblGrid>
        </w:tblGridChange>
      </w:tblGrid>
      <w:tr>
        <w:tc>
          <w:tcPr/>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The investigator obtains the funding required for the new study and obtains the following results:</w:t>
            </w:r>
          </w:p>
          <w:tbl>
            <w:tblPr>
              <w:tblStyle w:val="Table5"/>
              <w:tblW w:w="84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A0"/>
            </w:tblPr>
            <w:tblGrid>
              <w:gridCol w:w="2814"/>
              <w:gridCol w:w="2800"/>
              <w:gridCol w:w="2800"/>
              <w:tblGridChange w:id="0">
                <w:tblGrid>
                  <w:gridCol w:w="2814"/>
                  <w:gridCol w:w="2800"/>
                  <w:gridCol w:w="2800"/>
                </w:tblGrid>
              </w:tblGridChange>
            </w:tblGrid>
            <w:tr>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Second trial</w:t>
                  </w:r>
                  <w:r w:rsidDel="00000000" w:rsidR="00000000" w:rsidRPr="00000000">
                    <w:rPr>
                      <w:rtl w:val="0"/>
                    </w:rPr>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i w:val="0"/>
                      <w:sz w:val="22"/>
                      <w:szCs w:val="22"/>
                      <w:rtl w:val="0"/>
                    </w:rPr>
                    <w:t xml:space="preserve">High dose</w:t>
                  </w:r>
                  <w:r w:rsidDel="00000000" w:rsidR="00000000" w:rsidRPr="00000000">
                    <w:rPr>
                      <w:rtl w:val="0"/>
                    </w:rPr>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i w:val="0"/>
                      <w:sz w:val="22"/>
                      <w:szCs w:val="22"/>
                      <w:rtl w:val="0"/>
                    </w:rPr>
                    <w:t xml:space="preserve">Low dose</w:t>
                  </w:r>
                  <w:r w:rsidDel="00000000" w:rsidR="00000000" w:rsidRPr="00000000">
                    <w:rPr>
                      <w:rtl w:val="0"/>
                    </w:rPr>
                  </w:r>
                </w:p>
              </w:tc>
            </w:tr>
            <w:tr>
              <w:tc>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Sample size</w:t>
                  </w:r>
                  <w:r w:rsidDel="00000000" w:rsidR="00000000" w:rsidRPr="00000000">
                    <w:rPr>
                      <w:rtl w:val="0"/>
                    </w:rPr>
                  </w:r>
                </w:p>
              </w:tc>
              <w:tc>
                <w:tcPr/>
                <w:p w:rsidR="00000000" w:rsidDel="00000000" w:rsidP="00000000" w:rsidRDefault="00000000" w:rsidRPr="00000000" w14:paraId="0000004A">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pPr>
                  <w:r w:rsidDel="00000000" w:rsidR="00000000" w:rsidRPr="00000000">
                    <w:rPr>
                      <w:rtl w:val="0"/>
                    </w:rPr>
                    <w:t xml:space="preserve">100</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100</w:t>
                  </w:r>
                </w:p>
              </w:tc>
            </w:tr>
            <w:tr>
              <w:tc>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Mean log(GMT)</w:t>
                  </w:r>
                  <w:r w:rsidDel="00000000" w:rsidR="00000000" w:rsidRPr="00000000">
                    <w:rPr>
                      <w:rtl w:val="0"/>
                    </w:rPr>
                  </w:r>
                </w:p>
              </w:tc>
              <w:tc>
                <w:tcPr/>
                <w:p w:rsidR="00000000" w:rsidDel="00000000" w:rsidP="00000000" w:rsidRDefault="00000000" w:rsidRPr="00000000" w14:paraId="0000004D">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pPr>
                  <w:r w:rsidDel="00000000" w:rsidR="00000000" w:rsidRPr="00000000">
                    <w:rPr>
                      <w:rtl w:val="0"/>
                    </w:rPr>
                    <w:t xml:space="preserve">4.25 units/ml</w:t>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3.75 units/ml</w:t>
                  </w:r>
                </w:p>
              </w:tc>
            </w:tr>
            <w:tr>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60" w:line="259" w:lineRule="auto"/>
                    <w:rPr/>
                  </w:pPr>
                  <w:r w:rsidDel="00000000" w:rsidR="00000000" w:rsidRPr="00000000">
                    <w:rPr>
                      <w:i w:val="0"/>
                      <w:sz w:val="22"/>
                      <w:szCs w:val="22"/>
                      <w:rtl w:val="0"/>
                    </w:rPr>
                    <w:t xml:space="preserve">SD log(GMT)</w:t>
                  </w:r>
                  <w:r w:rsidDel="00000000" w:rsidR="00000000" w:rsidRPr="00000000">
                    <w:rPr>
                      <w:rtl w:val="0"/>
                    </w:rPr>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3.0 units/ml</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60" w:line="259" w:lineRule="auto"/>
                    <w:jc w:val="right"/>
                    <w:rPr/>
                  </w:pPr>
                  <w:r w:rsidDel="00000000" w:rsidR="00000000" w:rsidRPr="00000000">
                    <w:rPr>
                      <w:rtl w:val="0"/>
                    </w:rPr>
                    <w:t xml:space="preserve">3.0 units/ml</w:t>
                  </w:r>
                </w:p>
              </w:tc>
            </w:tr>
          </w:tbl>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r>
          </w:p>
        </w:tc>
      </w:tr>
      <w:tr>
        <w:tc>
          <w:tcPr/>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rtl w:val="0"/>
              </w:rPr>
              <w:t xml:space="preserve">Using the data from the first study as prior information calculate the posterior distribution of mean log(GMT) in each of the low dose and high dose groups. </w:t>
            </w:r>
            <w:r w:rsidDel="00000000" w:rsidR="00000000" w:rsidRPr="00000000">
              <w:rPr>
                <w:color w:val="ff0000"/>
                <w:rtl w:val="0"/>
              </w:rPr>
              <w:t xml:space="preserve">Assume that the standard deviation of the prior is τ=2.8 units/ml in each group. Further, assume that the standard deviation of the observed data is known and σ=3 units/ml.</w:t>
            </w:r>
            <w:r w:rsidDel="00000000" w:rsidR="00000000" w:rsidRPr="00000000">
              <w:rPr>
                <w:rtl w:val="0"/>
              </w:rPr>
            </w:r>
          </w:p>
        </w:tc>
      </w:tr>
      <w:tr>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59" w:lineRule="auto"/>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Posterior distribution for the means = </w:t>
            </w:r>
            <m:oMath>
              <m:f>
                <m:fPr>
                  <m:ctrlPr>
                    <w:rPr>
                      <w:rFonts w:ascii="Cambria Math" w:cs="Cambria Math" w:eastAsia="Cambria Math" w:hAnsi="Cambria Math"/>
                    </w:rPr>
                  </m:ctrlPr>
                </m:fPr>
                <m:num>
                  <m:r>
                    <w:rPr>
                      <w:rFonts w:ascii="Cambria Math" w:cs="Cambria Math" w:eastAsia="Cambria Math" w:hAnsi="Cambria Math"/>
                    </w:rPr>
                    <m:t xml:space="preserve">4.25-3.75</m:t>
                  </m:r>
                </m:num>
                <m:den>
                  <m:r>
                    <w:rPr>
                      <w:rFonts w:ascii="Cambria Math" w:cs="Cambria Math" w:eastAsia="Cambria Math" w:hAnsi="Cambria Math"/>
                    </w:rPr>
                    <m:t xml:space="preserve">2</m:t>
                  </m:r>
                </m:den>
              </m:f>
            </m:oMath>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                                                                  = 0.25</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High dose = 4.50</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Low dose = 4.00</w:t>
            </w:r>
          </w:p>
        </w:tc>
      </w:tr>
      <w:tr>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t xml:space="preserve">b) What is the posterior distribution of the difference in means between the two groups?</w:t>
            </w:r>
          </w:p>
        </w:tc>
      </w:tr>
      <w:tr>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59" w:lineRule="auto"/>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Posterior difference in means = 0.5</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r>
          </w:p>
        </w:tc>
      </w:tr>
      <w:tr>
        <w:tc>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t xml:space="preserve">c) Provide a 95% credible interval of the difference in means together with your interpretation. </w:t>
            </w:r>
          </w:p>
        </w:tc>
      </w:tr>
      <w:tr>
        <w:tc>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Margin of error = 0.837</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Confidence Interval = 0.5 ± 0.837</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                                    = ( -0.337, 1.337)</w:t>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pos="1065"/>
              </w:tabs>
              <w:spacing w:line="259" w:lineRule="auto"/>
              <w:rPr/>
            </w:pPr>
            <w:r w:rsidDel="00000000" w:rsidR="00000000" w:rsidRPr="00000000">
              <w:rPr>
                <w:rtl w:val="0"/>
              </w:rPr>
            </w:r>
          </w:p>
        </w:tc>
      </w:tr>
      <w:tr>
        <w:tc>
          <w:tcPr/>
          <w:p w:rsidR="00000000" w:rsidDel="00000000" w:rsidP="00000000" w:rsidRDefault="00000000" w:rsidRPr="00000000" w14:paraId="00000062">
            <w:pPr>
              <w:numPr>
                <w:ilvl w:val="0"/>
                <w:numId w:val="4"/>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rtl w:val="0"/>
              </w:rPr>
              <w:t xml:space="preserve">What would the posterior distribution of the mean in each group if we had used non-informative prior distributions instead?</w:t>
            </w:r>
          </w:p>
        </w:tc>
      </w:tr>
      <w:tr>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High dose = 8.25</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Low dose = 7.75</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r>
          </w:p>
        </w:tc>
      </w:tr>
      <w:tr>
        <w:tc>
          <w:tcPr/>
          <w:p w:rsidR="00000000" w:rsidDel="00000000" w:rsidP="00000000" w:rsidRDefault="00000000" w:rsidRPr="00000000" w14:paraId="00000066">
            <w:pPr>
              <w:numPr>
                <w:ilvl w:val="0"/>
                <w:numId w:val="4"/>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rtl w:val="0"/>
              </w:rPr>
              <w:t xml:space="preserve">What would the posterior distribution of the difference in means be if we had used non-informative prior distributions instead?</w:t>
            </w:r>
          </w:p>
        </w:tc>
      </w:tr>
      <w:tr>
        <w:tc>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59" w:lineRule="auto"/>
              <w:ind w:left="360" w:firstLine="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Difference = 8.25 -7.75</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59" w:lineRule="auto"/>
              <w:rPr/>
            </w:pPr>
            <w:r w:rsidDel="00000000" w:rsidR="00000000" w:rsidRPr="00000000">
              <w:rPr>
                <w:rtl w:val="0"/>
              </w:rPr>
              <w:t xml:space="preserve">                   = 0.5</w:t>
            </w:r>
          </w:p>
        </w:tc>
      </w:tr>
      <w:tr>
        <w:tc>
          <w:tcPr/>
          <w:p w:rsidR="00000000" w:rsidDel="00000000" w:rsidP="00000000" w:rsidRDefault="00000000" w:rsidRPr="00000000" w14:paraId="0000006A">
            <w:pPr>
              <w:numPr>
                <w:ilvl w:val="0"/>
                <w:numId w:val="4"/>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rtl w:val="0"/>
              </w:rPr>
              <w:t xml:space="preserve">What would be the 95% credible interval in that case? Provide an interpretation.</w:t>
            </w:r>
          </w:p>
        </w:tc>
      </w:tr>
      <w:tr>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5460.0" w:type="dxa"/>
              <w:jc w:val="left"/>
              <w:tblLayout w:type="fixed"/>
              <w:tblLook w:val="0400"/>
            </w:tblPr>
            <w:tblGrid>
              <w:gridCol w:w="3390"/>
              <w:gridCol w:w="1170"/>
              <w:gridCol w:w="900"/>
              <w:tblGridChange w:id="0">
                <w:tblGrid>
                  <w:gridCol w:w="3390"/>
                  <w:gridCol w:w="1170"/>
                  <w:gridCol w:w="90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High dose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Low dose</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mean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0">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4.25</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3.75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std. dev.</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3">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6">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100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198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difference (High dose - Low dose)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0.50000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D">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pooled variance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9.00000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pooled 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3.00000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interval 95.% lower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-0.33666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interval 95.% upper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1.33666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margin of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0.83666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after="0" w:line="240" w:lineRule="auto"/>
                    <w:jc w:val="right"/>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59" w:lineRule="auto"/>
              <w:rPr/>
            </w:pPr>
            <w:commentRangeStart w:id="0"/>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59" w:lineRule="auto"/>
              <w:ind w:left="360" w:firstLine="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59" w:lineRule="auto"/>
              <w:ind w:left="360" w:firstLine="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59" w:lineRule="auto"/>
              <w:ind w:left="360" w:firstLine="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59" w:lineRule="auto"/>
              <w:ind w:left="360" w:firstLine="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60" w:line="259" w:lineRule="auto"/>
              <w:ind w:left="360" w:firstLine="0"/>
              <w:rPr/>
            </w:pPr>
            <w:r w:rsidDel="00000000" w:rsidR="00000000" w:rsidRPr="00000000">
              <w:rPr>
                <w:rtl w:val="0"/>
              </w:rPr>
            </w:r>
          </w:p>
        </w:tc>
      </w:tr>
    </w:tbl>
    <w:p w:rsidR="00000000" w:rsidDel="00000000" w:rsidP="00000000" w:rsidRDefault="00000000" w:rsidRPr="00000000" w14:paraId="00000093">
      <w:pPr>
        <w:rPr/>
      </w:pPr>
      <w:bookmarkStart w:colFirst="0" w:colLast="0" w:name="_gjdgxs" w:id="0"/>
      <w:bookmarkEnd w:id="0"/>
      <w:r w:rsidDel="00000000" w:rsidR="00000000" w:rsidRPr="00000000">
        <w:rPr>
          <w:rtl w:val="0"/>
        </w:rPr>
      </w:r>
    </w:p>
    <w:sectPr>
      <w:footerReference r:id="rId8" w:type="default"/>
      <w:pgSz w:h="15840" w:w="12240"/>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dmin" w:id="0" w:date="2020-06-24T20:36:00Z">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Math"/>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color w:val="000000"/>
        <w:rtl w:val="0"/>
      </w:rPr>
      <w:t xml:space="preserve">EXMD 634</w:t>
      <w:tab/>
      <w:tab/>
      <w:t xml:space="preserve">Summer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4"/>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3"/>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pPr>
        <w:jc w:val="right"/>
      </w:pPr>
      <w:rPr>
        <w:rFonts w:ascii="Calibri" w:cs="Calibri" w:eastAsia="Calibri" w:hAnsi="Calibri"/>
        <w:i w:val="1"/>
        <w:sz w:val="26"/>
        <w:szCs w:val="26"/>
      </w:rPr>
      <w:tcPr>
        <w:tcBorders>
          <w:right w:color="000000" w:space="0" w:sz="4" w:val="single"/>
        </w:tcBorders>
        <w:shd w:fill="ffffff" w:val="clear"/>
      </w:tcPr>
    </w:tblStylePr>
    <w:tblStylePr w:type="firstRow">
      <w:rPr>
        <w:rFonts w:ascii="Calibri" w:cs="Calibri" w:eastAsia="Calibri" w:hAnsi="Calibri"/>
        <w:i w:val="1"/>
        <w:sz w:val="26"/>
        <w:szCs w:val="26"/>
      </w:rPr>
      <w:tcPr>
        <w:tcBorders>
          <w:bottom w:color="000000" w:space="0" w:sz="4" w:val="single"/>
        </w:tcBorders>
        <w:shd w:fill="ffffff" w:val="clear"/>
      </w:tcPr>
    </w:tblStylePr>
    <w:tblStylePr w:type="lastCol">
      <w:rPr>
        <w:rFonts w:ascii="Calibri" w:cs="Calibri" w:eastAsia="Calibri" w:hAnsi="Calibri"/>
        <w:i w:val="1"/>
        <w:sz w:val="26"/>
        <w:szCs w:val="26"/>
      </w:rPr>
      <w:tcPr>
        <w:tcBorders>
          <w:left w:color="000000" w:space="0" w:sz="4" w:val="single"/>
        </w:tcBorders>
        <w:shd w:fill="ffffff" w:val="clear"/>
      </w:tcPr>
    </w:tblStylePr>
    <w:tblStylePr w:type="lastRow">
      <w:rPr>
        <w:rFonts w:ascii="Calibri" w:cs="Calibri" w:eastAsia="Calibri" w:hAnsi="Calibri"/>
        <w:i w:val="1"/>
        <w:sz w:val="26"/>
        <w:szCs w:val="26"/>
      </w:rPr>
      <w:tcPr>
        <w:tcBorders>
          <w:top w:color="000000" w:space="0" w:sz="4" w:val="single"/>
        </w:tcBorders>
        <w:shd w:fill="ffffff" w:val="clear"/>
      </w:tcPr>
    </w:tblStylePr>
    <w:tblStylePr w:type="neCell">
      <w:tcPr>
        <w:tcBorders>
          <w:left w:color="000000" w:space="0" w:sz="0" w:val="nil"/>
        </w:tcBorders>
      </w:tcPr>
    </w:tblStylePr>
    <w:tblStylePr w:type="nwCell">
      <w:tcPr>
        <w:tcBorders>
          <w:right w:color="000000" w:space="0" w:sz="0" w:val="nil"/>
        </w:tcBorders>
      </w:tcPr>
    </w:tblStylePr>
    <w:tblStylePr w:type="seCell">
      <w:tcPr>
        <w:tcBorders>
          <w:left w:color="000000" w:space="0" w:sz="0" w:val="nil"/>
        </w:tcBorders>
      </w:tcPr>
    </w:tblStylePr>
    <w:tblStylePr w:type="swCell">
      <w:tcPr>
        <w:tcBorders>
          <w:right w:color="000000" w:space="0" w:sz="0" w:val="nil"/>
        </w:tcBorders>
      </w:tcPr>
    </w:tblStylePr>
  </w:style>
  <w:style w:type="table" w:styleId="Table3">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pPr>
        <w:jc w:val="right"/>
      </w:pPr>
      <w:rPr>
        <w:rFonts w:ascii="Calibri" w:cs="Calibri" w:eastAsia="Calibri" w:hAnsi="Calibri"/>
        <w:i w:val="1"/>
        <w:sz w:val="26"/>
        <w:szCs w:val="26"/>
      </w:rPr>
      <w:tcPr>
        <w:tcBorders>
          <w:right w:color="000000" w:space="0" w:sz="4" w:val="single"/>
        </w:tcBorders>
        <w:shd w:fill="ffffff" w:val="clear"/>
      </w:tcPr>
    </w:tblStylePr>
    <w:tblStylePr w:type="firstRow">
      <w:rPr>
        <w:rFonts w:ascii="Calibri" w:cs="Calibri" w:eastAsia="Calibri" w:hAnsi="Calibri"/>
        <w:i w:val="1"/>
        <w:sz w:val="26"/>
        <w:szCs w:val="26"/>
      </w:rPr>
      <w:tcPr>
        <w:tcBorders>
          <w:bottom w:color="000000" w:space="0" w:sz="4" w:val="single"/>
        </w:tcBorders>
        <w:shd w:fill="ffffff" w:val="clear"/>
      </w:tcPr>
    </w:tblStylePr>
    <w:tblStylePr w:type="lastCol">
      <w:rPr>
        <w:rFonts w:ascii="Calibri" w:cs="Calibri" w:eastAsia="Calibri" w:hAnsi="Calibri"/>
        <w:i w:val="1"/>
        <w:sz w:val="26"/>
        <w:szCs w:val="26"/>
      </w:rPr>
      <w:tcPr>
        <w:tcBorders>
          <w:left w:color="000000" w:space="0" w:sz="4" w:val="single"/>
        </w:tcBorders>
        <w:shd w:fill="ffffff" w:val="clear"/>
      </w:tcPr>
    </w:tblStylePr>
    <w:tblStylePr w:type="lastRow">
      <w:rPr>
        <w:rFonts w:ascii="Calibri" w:cs="Calibri" w:eastAsia="Calibri" w:hAnsi="Calibri"/>
        <w:i w:val="1"/>
        <w:sz w:val="26"/>
        <w:szCs w:val="26"/>
      </w:rPr>
      <w:tcPr>
        <w:tcBorders>
          <w:top w:color="000000" w:space="0" w:sz="4" w:val="single"/>
        </w:tcBorders>
        <w:shd w:fill="ffffff" w:val="clear"/>
      </w:tcPr>
    </w:tblStylePr>
    <w:tblStylePr w:type="neCell">
      <w:tcPr>
        <w:tcBorders>
          <w:left w:color="000000" w:space="0" w:sz="0" w:val="nil"/>
        </w:tcBorders>
      </w:tcPr>
    </w:tblStylePr>
    <w:tblStylePr w:type="nwCell">
      <w:tcPr>
        <w:tcBorders>
          <w:right w:color="000000" w:space="0" w:sz="0" w:val="nil"/>
        </w:tcBorders>
      </w:tcPr>
    </w:tblStylePr>
    <w:tblStylePr w:type="seCell">
      <w:tcPr>
        <w:tcBorders>
          <w:left w:color="000000" w:space="0" w:sz="0" w:val="nil"/>
        </w:tcBorders>
      </w:tcPr>
    </w:tblStylePr>
    <w:tblStylePr w:type="swCell">
      <w:tcPr>
        <w:tcBorders>
          <w:right w:color="000000" w:space="0" w:sz="0" w:val="nil"/>
        </w:tcBorders>
      </w:tcPr>
    </w:tblStyle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